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977"/>
          <w:tab w:val="left" w:leader="none" w:pos="3402"/>
          <w:tab w:val="left" w:leader="none" w:pos="2977"/>
          <w:tab w:val="left" w:leader="none" w:pos="3402"/>
        </w:tabs>
        <w:spacing w:after="240" w:lineRule="auto"/>
        <w:ind w:left="0" w:right="-52" w:firstLine="0"/>
        <w:jc w:val="both"/>
        <w:rPr>
          <w:sz w:val="24"/>
          <w:szCs w:val="24"/>
        </w:rPr>
      </w:pPr>
      <w:r w:rsidDel="00000000" w:rsidR="00000000" w:rsidRPr="00000000">
        <w:rPr>
          <w:rtl w:val="0"/>
        </w:rPr>
        <w:t xml:space="preserve">Fact sheet 1c:  Avoiding Job Substitution</w:t>
      </w:r>
      <w:r w:rsidDel="00000000" w:rsidR="00000000" w:rsidRPr="00000000">
        <w:rPr>
          <w:rtl w:val="0"/>
        </w:rPr>
      </w:r>
    </w:p>
    <w:p w:rsidR="00000000" w:rsidDel="00000000" w:rsidP="00000000" w:rsidRDefault="00000000" w:rsidRPr="00000000" w14:paraId="00000002">
      <w:pPr>
        <w:pStyle w:val="Heading2"/>
        <w:spacing w:after="120" w:lineRule="auto"/>
        <w:jc w:val="both"/>
        <w:rPr/>
      </w:pPr>
      <w:r w:rsidDel="00000000" w:rsidR="00000000" w:rsidRPr="00000000">
        <w:rPr>
          <w:rtl w:val="0"/>
        </w:rPr>
        <w:t xml:space="preserve">In the current climate of public spending cuts, there are concerns that organisations will recruit volunteers to help manage the impact of reduced income. This situation could lead to a number of issues, such as:</w:t>
      </w:r>
    </w:p>
    <w:p w:rsidR="00000000" w:rsidDel="00000000" w:rsidP="00000000" w:rsidRDefault="00000000" w:rsidRPr="00000000" w14:paraId="00000003">
      <w:pPr>
        <w:numPr>
          <w:ilvl w:val="0"/>
          <w:numId w:val="2"/>
        </w:numPr>
        <w:spacing w:after="0" w:lineRule="auto"/>
        <w:ind w:left="720" w:hanging="360"/>
        <w:jc w:val="both"/>
        <w:rPr>
          <w:b w:val="0"/>
        </w:rPr>
      </w:pPr>
      <w:r w:rsidDel="00000000" w:rsidR="00000000" w:rsidRPr="00000000">
        <w:rPr>
          <w:b w:val="0"/>
          <w:rtl w:val="0"/>
        </w:rPr>
        <w:t xml:space="preserve">Volunteers being recruited for the ‘wrong’ reasons</w:t>
      </w:r>
    </w:p>
    <w:p w:rsidR="00000000" w:rsidDel="00000000" w:rsidP="00000000" w:rsidRDefault="00000000" w:rsidRPr="00000000" w14:paraId="00000004">
      <w:pPr>
        <w:numPr>
          <w:ilvl w:val="0"/>
          <w:numId w:val="2"/>
        </w:numPr>
        <w:spacing w:after="0" w:lineRule="auto"/>
        <w:ind w:left="720" w:hanging="360"/>
        <w:jc w:val="both"/>
        <w:rPr>
          <w:b w:val="0"/>
        </w:rPr>
      </w:pPr>
      <w:r w:rsidDel="00000000" w:rsidR="00000000" w:rsidRPr="00000000">
        <w:rPr>
          <w:b w:val="0"/>
          <w:rtl w:val="0"/>
        </w:rPr>
        <w:t xml:space="preserve">Poor working relations between employees and volunteers</w:t>
      </w:r>
    </w:p>
    <w:p w:rsidR="00000000" w:rsidDel="00000000" w:rsidP="00000000" w:rsidRDefault="00000000" w:rsidRPr="00000000" w14:paraId="00000005">
      <w:pPr>
        <w:numPr>
          <w:ilvl w:val="0"/>
          <w:numId w:val="2"/>
        </w:numPr>
        <w:spacing w:after="0" w:lineRule="auto"/>
        <w:ind w:left="720" w:hanging="360"/>
        <w:jc w:val="both"/>
        <w:rPr>
          <w:b w:val="0"/>
        </w:rPr>
      </w:pPr>
      <w:r w:rsidDel="00000000" w:rsidR="00000000" w:rsidRPr="00000000">
        <w:rPr>
          <w:b w:val="0"/>
          <w:rtl w:val="0"/>
        </w:rPr>
        <w:t xml:space="preserve">Inappropriate volunteering roles</w:t>
      </w:r>
    </w:p>
    <w:p w:rsidR="00000000" w:rsidDel="00000000" w:rsidP="00000000" w:rsidRDefault="00000000" w:rsidRPr="00000000" w14:paraId="00000006">
      <w:pPr>
        <w:numPr>
          <w:ilvl w:val="0"/>
          <w:numId w:val="2"/>
        </w:numPr>
        <w:spacing w:after="0" w:lineRule="auto"/>
        <w:ind w:left="720" w:hanging="360"/>
        <w:jc w:val="both"/>
        <w:rPr>
          <w:b w:val="0"/>
        </w:rPr>
      </w:pPr>
      <w:r w:rsidDel="00000000" w:rsidR="00000000" w:rsidRPr="00000000">
        <w:rPr>
          <w:b w:val="0"/>
          <w:rtl w:val="0"/>
        </w:rPr>
        <w:t xml:space="preserve">Legal problems for organisations. </w:t>
      </w:r>
    </w:p>
    <w:p w:rsidR="00000000" w:rsidDel="00000000" w:rsidP="00000000" w:rsidRDefault="00000000" w:rsidRPr="00000000" w14:paraId="00000007">
      <w:pPr>
        <w:spacing w:after="0" w:line="240" w:lineRule="auto"/>
        <w:jc w:val="both"/>
        <w:rPr>
          <w:b w:val="0"/>
          <w:sz w:val="16"/>
          <w:szCs w:val="16"/>
        </w:rPr>
      </w:pPr>
      <w:r w:rsidDel="00000000" w:rsidR="00000000" w:rsidRPr="00000000">
        <w:rPr>
          <w:rtl w:val="0"/>
        </w:rPr>
      </w:r>
    </w:p>
    <w:p w:rsidR="00000000" w:rsidDel="00000000" w:rsidP="00000000" w:rsidRDefault="00000000" w:rsidRPr="00000000" w14:paraId="00000008">
      <w:pPr>
        <w:spacing w:after="0" w:lineRule="auto"/>
        <w:jc w:val="both"/>
        <w:rPr>
          <w:b w:val="0"/>
        </w:rPr>
      </w:pPr>
      <w:r w:rsidDel="00000000" w:rsidR="00000000" w:rsidRPr="00000000">
        <w:rPr>
          <w:b w:val="0"/>
          <w:rtl w:val="0"/>
        </w:rPr>
        <w:t xml:space="preserve">In 2009, the Trades Union Congress (TUC) and Volunteering England (now the National Council for Voluntary Organisations) signed a ten-point charter that aims to address the impact of substituting volunteers for employees:</w:t>
      </w:r>
    </w:p>
    <w:p w:rsidR="00000000" w:rsidDel="00000000" w:rsidP="00000000" w:rsidRDefault="00000000" w:rsidRPr="00000000" w14:paraId="00000009">
      <w:pPr>
        <w:spacing w:after="0" w:lineRule="auto"/>
        <w:jc w:val="both"/>
        <w:rPr>
          <w:b w:val="0"/>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0"/>
          <w:sz w:val="28"/>
          <w:szCs w:val="28"/>
          <w:vertAlign w:val="superscript"/>
        </w:rPr>
      </w:pPr>
      <w:hyperlink r:id="rId7">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Charter for Strengthening Relations between Paid Staff and Volunteers</w:t>
        </w:r>
      </w:hyperlink>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0"/>
          <w:sz w:val="28"/>
          <w:szCs w:val="28"/>
          <w:vertAlign w:val="superscrip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volunteering is undertaken by choice, and all individuals should have the right to volunteer, or indeed not to volunteer</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While volunteers should not normally receive or expect financial rewards for their activities, they should receive reasonable out-of-pocket expenses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involvement of volunteers should complement and supplement the work of paid staff, and should not be used to displace paid staff or undercut their pay and conditions of service</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added value of volunteers should be highlighted as part of commissioning or grantmaking process but their involvement should not be used to reduce contract costs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Effective structures should be put in place to support and develop volunteers and the activities they undertake, and these should be fully considered and costed when services are planned and developed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and paid staff should be provided with opportunities to contribute to the development of volunteering policies and procedures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b w:val="0"/>
        </w:rPr>
      </w:pPr>
      <w:r w:rsidDel="00000000" w:rsidR="00000000" w:rsidRPr="00000000">
        <w:rPr>
          <w:rtl w:val="0"/>
        </w:rPr>
      </w:r>
    </w:p>
    <w:p w:rsidR="00000000" w:rsidDel="00000000" w:rsidP="00000000" w:rsidRDefault="00000000" w:rsidRPr="00000000" w14:paraId="00000014">
      <w:pPr>
        <w:spacing w:after="0" w:lineRule="auto"/>
        <w:jc w:val="both"/>
        <w:rPr>
          <w:b w:val="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like paid staff, should be able to carry out their duties in safe, secure and healthy environments that are free from harassment, intimidation, bullying, violence and discrimination</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paid workers and volunteers should have access to appropriate training and development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should be recognised machinery for the resolution of any problems between organisations and volunteers or between paid staff and volunteers</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interests of harmonious relations between volunteers and paid staff, volunteers should not be used to undertake the work of paid staff during industrial disputes</w:t>
      </w:r>
    </w:p>
    <w:p w:rsidR="00000000" w:rsidDel="00000000" w:rsidP="00000000" w:rsidRDefault="00000000" w:rsidRPr="00000000" w14:paraId="00000019">
      <w:pPr>
        <w:jc w:val="both"/>
        <w:rPr>
          <w:b w:val="0"/>
          <w:sz w:val="4"/>
          <w:szCs w:val="4"/>
        </w:rPr>
      </w:pPr>
      <w:r w:rsidDel="00000000" w:rsidR="00000000" w:rsidRPr="00000000">
        <w:rPr>
          <w:rtl w:val="0"/>
        </w:rPr>
      </w:r>
    </w:p>
    <w:p w:rsidR="00000000" w:rsidDel="00000000" w:rsidP="00000000" w:rsidRDefault="00000000" w:rsidRPr="00000000" w14:paraId="0000001A">
      <w:pPr>
        <w:jc w:val="both"/>
        <w:rPr>
          <w:b w:val="0"/>
        </w:rPr>
      </w:pPr>
      <w:r w:rsidDel="00000000" w:rsidR="00000000" w:rsidRPr="00000000">
        <w:rPr>
          <w:b w:val="0"/>
          <w:rtl w:val="0"/>
        </w:rPr>
        <w:t xml:space="preserve">Warwickshire CAVA’s approach to volunteering is in line with this charter and our resources echo the values underpinning it. Following the good practice in the guides will help you to strengthen your organisation, whilst safeguarding its interests and those of its volunteers and employees. </w:t>
      </w:r>
    </w:p>
    <w:p w:rsidR="00000000" w:rsidDel="00000000" w:rsidP="00000000" w:rsidRDefault="00000000" w:rsidRPr="00000000" w14:paraId="0000001B">
      <w:pPr>
        <w:jc w:val="both"/>
        <w:rPr>
          <w:b w:val="0"/>
        </w:rPr>
      </w:pPr>
      <w:r w:rsidDel="00000000" w:rsidR="00000000" w:rsidRPr="00000000">
        <w:rPr>
          <w:rtl w:val="0"/>
        </w:rPr>
      </w:r>
    </w:p>
    <w:p w:rsidR="00000000" w:rsidDel="00000000" w:rsidP="00000000" w:rsidRDefault="00000000" w:rsidRPr="00000000" w14:paraId="0000001C">
      <w:pPr>
        <w:tabs>
          <w:tab w:val="left" w:leader="none" w:pos="1950"/>
        </w:tabs>
        <w:spacing w:after="240" w:line="240" w:lineRule="auto"/>
        <w:jc w:val="both"/>
        <w:rPr>
          <w:u w:val="single"/>
        </w:rPr>
      </w:pPr>
      <w:r w:rsidDel="00000000" w:rsidR="00000000" w:rsidRPr="00000000">
        <w:rPr>
          <w:u w:val="single"/>
          <w:rtl w:val="0"/>
        </w:rPr>
        <w:t xml:space="preserve">Further information</w:t>
      </w:r>
    </w:p>
    <w:p w:rsidR="00000000" w:rsidDel="00000000" w:rsidP="00000000" w:rsidRDefault="00000000" w:rsidRPr="00000000" w14:paraId="0000001D">
      <w:pPr>
        <w:spacing w:after="0" w:lineRule="auto"/>
        <w:jc w:val="both"/>
        <w:rPr/>
      </w:pPr>
      <w:r w:rsidDel="00000000" w:rsidR="00000000" w:rsidRPr="00000000">
        <w:rPr>
          <w:rtl w:val="0"/>
        </w:rPr>
        <w:t xml:space="preserve">CAVA Resource Library fact sheet: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2c. Avoiding the pitfall of creating employment contracts</w:t>
        </w:r>
      </w:hyperlink>
      <w:r w:rsidDel="00000000" w:rsidR="00000000" w:rsidRPr="00000000">
        <w:rPr>
          <w:rtl w:val="0"/>
        </w:rPr>
      </w:r>
    </w:p>
    <w:p w:rsidR="00000000" w:rsidDel="00000000" w:rsidP="00000000" w:rsidRDefault="00000000" w:rsidRPr="00000000" w14:paraId="0000001F">
      <w:pPr>
        <w:spacing w:after="0" w:lineRule="auto"/>
        <w:jc w:val="both"/>
        <w:rPr>
          <w:b w:val="0"/>
        </w:rPr>
      </w:pPr>
      <w:r w:rsidDel="00000000" w:rsidR="00000000" w:rsidRPr="00000000">
        <w:rPr>
          <w:rtl w:val="0"/>
        </w:rPr>
      </w:r>
    </w:p>
    <w:p w:rsidR="00000000" w:rsidDel="00000000" w:rsidP="00000000" w:rsidRDefault="00000000" w:rsidRPr="00000000" w14:paraId="00000020">
      <w:pPr>
        <w:spacing w:after="0" w:lineRule="auto"/>
        <w:jc w:val="both"/>
        <w:rPr>
          <w:b w:val="0"/>
          <w:color w:val="000000"/>
        </w:rPr>
      </w:pPr>
      <w:hyperlink r:id="rId9">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21">
      <w:pPr>
        <w:spacing w:after="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22">
      <w:pPr>
        <w:numPr>
          <w:ilvl w:val="0"/>
          <w:numId w:val="4"/>
        </w:numPr>
        <w:spacing w:after="0" w:lineRule="auto"/>
        <w:ind w:left="426" w:hanging="437"/>
        <w:jc w:val="both"/>
        <w:rPr>
          <w:b w:val="0"/>
        </w:rPr>
      </w:pPr>
      <w:hyperlink r:id="rId10">
        <w:r w:rsidDel="00000000" w:rsidR="00000000" w:rsidRPr="00000000">
          <w:rPr>
            <w:b w:val="0"/>
            <w:color w:val="7030a0"/>
            <w:rtl w:val="0"/>
          </w:rPr>
          <w:t xml:space="preserve">www.ncvo.org.uk</w:t>
        </w:r>
      </w:hyperlink>
      <w:r w:rsidDel="00000000" w:rsidR="00000000" w:rsidRPr="00000000">
        <w:rPr>
          <w:b w:val="0"/>
          <w:rtl w:val="0"/>
        </w:rPr>
        <w:tab/>
        <w:t xml:space="preserve">Phone: 020 7713 6161 </w:t>
        <w:tab/>
        <w:t xml:space="preserve">Email: ncvo@ncvo.org.uk</w:t>
      </w:r>
    </w:p>
    <w:p w:rsidR="00000000" w:rsidDel="00000000" w:rsidP="00000000" w:rsidRDefault="00000000" w:rsidRPr="00000000" w14:paraId="00000023">
      <w:pPr>
        <w:spacing w:after="0" w:lineRule="auto"/>
        <w:jc w:val="both"/>
        <w:rPr>
          <w:b w:val="0"/>
        </w:rPr>
      </w:pPr>
      <w:r w:rsidDel="00000000" w:rsidR="00000000" w:rsidRPr="00000000">
        <w:rPr>
          <w:rtl w:val="0"/>
        </w:rPr>
      </w:r>
    </w:p>
    <w:p w:rsidR="00000000" w:rsidDel="00000000" w:rsidP="00000000" w:rsidRDefault="00000000" w:rsidRPr="00000000" w14:paraId="00000024">
      <w:pPr>
        <w:spacing w:after="0" w:lineRule="auto"/>
        <w:jc w:val="both"/>
        <w:rPr>
          <w:color w:val="000000"/>
        </w:rPr>
      </w:pPr>
      <w:r w:rsidDel="00000000" w:rsidR="00000000" w:rsidRPr="00000000">
        <w:rPr>
          <w:color w:val="000000"/>
          <w:rtl w:val="0"/>
        </w:rPr>
        <w:t xml:space="preserve">NCVO Knowhow Nonprofit</w:t>
      </w:r>
    </w:p>
    <w:p w:rsidR="00000000" w:rsidDel="00000000" w:rsidP="00000000" w:rsidRDefault="00000000" w:rsidRPr="00000000" w14:paraId="00000025">
      <w:pPr>
        <w:spacing w:after="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26">
      <w:pPr>
        <w:numPr>
          <w:ilvl w:val="0"/>
          <w:numId w:val="4"/>
        </w:numPr>
        <w:spacing w:after="0" w:lineRule="auto"/>
        <w:ind w:left="426" w:hanging="426"/>
        <w:jc w:val="both"/>
        <w:rPr>
          <w:b w:val="0"/>
        </w:rPr>
      </w:pPr>
      <w:hyperlink r:id="rId11">
        <w:r w:rsidDel="00000000" w:rsidR="00000000" w:rsidRPr="00000000">
          <w:rPr>
            <w:b w:val="0"/>
            <w:color w:val="7030a0"/>
            <w:rtl w:val="0"/>
          </w:rPr>
          <w:t xml:space="preserve">www.knowhownonprofit.org</w:t>
        </w:r>
      </w:hyperlink>
      <w:r w:rsidDel="00000000" w:rsidR="00000000" w:rsidRPr="00000000">
        <w:rPr>
          <w:rtl w:val="0"/>
        </w:rPr>
      </w:r>
    </w:p>
    <w:p w:rsidR="00000000" w:rsidDel="00000000" w:rsidP="00000000" w:rsidRDefault="00000000" w:rsidRPr="00000000" w14:paraId="00000027">
      <w:pPr>
        <w:spacing w:after="0" w:lineRule="auto"/>
        <w:ind w:left="284" w:firstLine="0"/>
        <w:rPr>
          <w:b w:val="0"/>
        </w:rPr>
      </w:pPr>
      <w:r w:rsidDel="00000000" w:rsidR="00000000" w:rsidRPr="00000000">
        <w:rPr>
          <w:rtl w:val="0"/>
        </w:rPr>
      </w:r>
    </w:p>
    <w:sectPr>
      <w:headerReference r:id="rId12" w:type="default"/>
      <w:headerReference r:id="rId13" w:type="first"/>
      <w:footerReference r:id="rId14" w:type="default"/>
      <w:footerReference r:id="rId15" w:type="first"/>
      <w:pgSz w:h="16840" w:w="11900" w:orient="portrait"/>
      <w:pgMar w:bottom="566.9291338582677" w:top="1440.0000000000002" w:left="1440.0000000000002" w:right="1440.0000000000002" w:header="720" w:footer="167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471863" cy="899685"/>
          <wp:effectExtent b="0" l="0" r="0" t="0"/>
          <wp:wrapNone/>
          <wp:docPr id="31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471863" cy="8996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44221" cy="752680"/>
              <wp:effectExtent b="0" l="0" r="0" t="0"/>
              <wp:wrapNone/>
              <wp:docPr id="314" name=""/>
              <a:graphic>
                <a:graphicData uri="http://schemas.microsoft.com/office/word/2010/wordprocessingGroup">
                  <wpg:wgp>
                    <wpg:cNvGrpSpPr/>
                    <wpg:grpSpPr>
                      <a:xfrm>
                        <a:off x="2473875" y="3403650"/>
                        <a:ext cx="5744221" cy="752680"/>
                        <a:chOff x="2473875" y="3403650"/>
                        <a:chExt cx="5744250" cy="752700"/>
                      </a:xfrm>
                    </wpg:grpSpPr>
                    <wpg:grpSp>
                      <wpg:cNvGrpSpPr/>
                      <wpg:grpSpPr>
                        <a:xfrm>
                          <a:off x="2473890" y="3403660"/>
                          <a:ext cx="5744221" cy="752680"/>
                          <a:chOff x="2473875" y="3398875"/>
                          <a:chExt cx="5744250" cy="757475"/>
                        </a:xfrm>
                      </wpg:grpSpPr>
                      <wps:wsp>
                        <wps:cNvSpPr/>
                        <wps:cNvPr id="3" name="Shape 3"/>
                        <wps:spPr>
                          <a:xfrm>
                            <a:off x="2473875" y="3398875"/>
                            <a:ext cx="5744250" cy="757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3890" y="3403660"/>
                            <a:ext cx="5744221" cy="752680"/>
                            <a:chOff x="0" y="0"/>
                            <a:chExt cx="5744221" cy="752680"/>
                          </a:xfrm>
                        </wpg:grpSpPr>
                        <wps:wsp>
                          <wps:cNvSpPr/>
                          <wps:cNvPr id="5" name="Shape 5"/>
                          <wps:spPr>
                            <a:xfrm>
                              <a:off x="0" y="0"/>
                              <a:ext cx="5744200" cy="75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163773"/>
                              <a:ext cx="5744210" cy="588907"/>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Strategic Planning for Volunteer Involvement      Fact sheet 1c: Avoiding Job Substitution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www.wcava.org.uk/resource-library/strategic-planning-volunteer-involvement</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744221" cy="752680"/>
              <wp:effectExtent b="0" l="0" r="0" t="0"/>
              <wp:wrapNone/>
              <wp:docPr id="31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4221" cy="7526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Style w:val="Heading1"/>
      <w:tabs>
        <w:tab w:val="left" w:leader="none" w:pos="2977"/>
        <w:tab w:val="left" w:leader="none" w:pos="3402"/>
        <w:tab w:val="left" w:leader="none" w:pos="2977"/>
        <w:tab w:val="left" w:leader="none" w:pos="3402"/>
        <w:tab w:val="left" w:leader="none" w:pos="1333"/>
        <w:tab w:val="right" w:leader="none" w:pos="9043"/>
      </w:tabs>
      <w:spacing w:after="240" w:before="240" w:line="360" w:lineRule="auto"/>
      <w:ind w:right="-23" w:firstLine="720"/>
      <w:jc w:val="left"/>
      <w:rPr>
        <w:color w:val="000000"/>
        <w:u w:val="none"/>
      </w:rPr>
    </w:pPr>
    <w:r w:rsidDel="00000000" w:rsidR="00000000" w:rsidRPr="00000000">
      <w:rPr>
        <w:rtl w:val="0"/>
      </w:rPr>
      <w:tab/>
      <w:t xml:space="preserve">Strategic Planning for Volunteer Involvement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-176212</wp:posOffset>
              </wp:positionH>
              <wp:positionV relativeFrom="paragraph">
                <wp:posOffset>66675</wp:posOffset>
              </wp:positionV>
              <wp:extent cx="6067425" cy="1009650"/>
              <wp:effectExtent b="0" l="0" r="0" t="0"/>
              <wp:wrapNone/>
              <wp:docPr id="315" name=""/>
              <a:graphic>
                <a:graphicData uri="http://schemas.microsoft.com/office/word/2010/wordprocessingShape">
                  <wps:wsp>
                    <wps:cNvSpPr/>
                    <wps:cNvPr id="8" name="Shape 8"/>
                    <wps:spPr>
                      <a:xfrm>
                        <a:off x="0" y="0"/>
                        <a:ext cx="1009650" cy="6067425"/>
                      </a:xfrm>
                      <a:prstGeom prst="rect">
                        <a:avLst/>
                      </a:prstGeom>
                      <a:noFill/>
                    </wps:spPr>
                    <wps:bodyPr/>
                  </wps:wsp>
                </a:graphicData>
              </a:graphic>
            </wp:anchor>
          </w:drawing>
        </mc:Choice>
        <mc:Fallback>
          <w:drawing>
            <wp:anchor allowOverlap="1" behindDoc="1" distB="0" distT="0" distL="0" distR="0" hidden="0" layoutInCell="1" locked="0" relativeHeight="0" simplePos="0">
              <wp:simplePos x="0" y="0"/>
              <wp:positionH relativeFrom="column">
                <wp:posOffset>-176212</wp:posOffset>
              </wp:positionH>
              <wp:positionV relativeFrom="paragraph">
                <wp:posOffset>66675</wp:posOffset>
              </wp:positionV>
              <wp:extent cx="6067425" cy="1009650"/>
              <wp:effectExtent b="0" l="0" r="0" t="0"/>
              <wp:wrapNone/>
              <wp:docPr id="3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67425" cy="10096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9526</wp:posOffset>
          </wp:positionV>
          <wp:extent cx="1704823" cy="841084"/>
          <wp:effectExtent b="0" l="0" r="0" t="0"/>
          <wp:wrapSquare wrapText="bothSides" distB="114300" distT="114300" distL="114300" distR="114300"/>
          <wp:docPr id="316"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704823" cy="841084"/>
                  </a:xfrm>
                  <a:prstGeom prst="rect"/>
                  <a:ln/>
                </pic:spPr>
              </pic:pic>
            </a:graphicData>
          </a:graphic>
        </wp:anchor>
      </w:drawing>
    </w:r>
  </w:p>
  <w:p w:rsidR="00000000" w:rsidDel="00000000" w:rsidP="00000000" w:rsidRDefault="00000000" w:rsidRPr="00000000" w14:paraId="00000029">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2A">
    <w:pPr>
      <w:tabs>
        <w:tab w:val="left" w:leader="none" w:pos="1950"/>
      </w:tabs>
      <w:spacing w:after="360" w:lineRule="auto"/>
      <w:jc w:val="right"/>
      <w:rPr>
        <w:rFonts w:ascii="Arial" w:cs="Arial" w:eastAsia="Arial" w:hAnsi="Arial"/>
        <w:b w:val="1"/>
        <w:i w:val="0"/>
        <w:smallCaps w:val="0"/>
        <w:strike w:val="0"/>
        <w:color w:val="000000"/>
        <w:sz w:val="24"/>
        <w:szCs w:val="24"/>
        <w:u w:val="none"/>
        <w:shd w:fill="auto" w:val="clear"/>
        <w:vertAlign w:val="baseline"/>
      </w:rPr>
    </w:pPr>
    <w:hyperlink r:id="rId3">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 </w:t>
    </w:r>
    <w:r w:rsidDel="00000000" w:rsidR="00000000" w:rsidRPr="00000000">
      <w:rPr>
        <w:color w:val="00000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9708D1"/>
    <w:pPr>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47292A"/>
    <w:pPr>
      <w:spacing w:line="276" w:lineRule="auto"/>
    </w:pPr>
    <w:rPr>
      <w:rFonts w:ascii="Arial" w:cs="Arial" w:hAnsi="Arial"/>
      <w:szCs w:val="24"/>
    </w:rPr>
  </w:style>
  <w:style w:type="character" w:styleId="Arial12NormalChar" w:customStyle="1">
    <w:name w:val="Arial 12 Normal Char"/>
    <w:basedOn w:val="Roboto12NormalChar"/>
    <w:link w:val="Arial12Normal"/>
    <w:rsid w:val="0047292A"/>
    <w:rPr>
      <w:rFonts w:ascii="Arial" w:cs="Arial" w:hAnsi="Arial"/>
      <w:sz w:val="24"/>
      <w:szCs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BF3999"/>
    <w:pPr>
      <w:spacing w:after="100" w:afterAutospacing="1" w:before="100" w:beforeAutospacing="1" w:line="240" w:lineRule="auto"/>
    </w:pPr>
    <w:rPr>
      <w:rFonts w:ascii="Times New Roman" w:cs="Times New Roman" w:eastAsia="Times New Roman" w:hAnsi="Times New Roman"/>
      <w:b w:val="0"/>
      <w:szCs w:val="24"/>
      <w:lang w:eastAsia="en-GB"/>
    </w:rPr>
  </w:style>
  <w:style w:type="character" w:styleId="apple-converted-space" w:customStyle="1">
    <w:name w:val="apple-converted-space"/>
    <w:basedOn w:val="DefaultParagraphFont"/>
    <w:rsid w:val="00BF3999"/>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yperlink" Target="https://knowhownonprofit.org/" TargetMode="External"/><Relationship Id="rId10" Type="http://schemas.openxmlformats.org/officeDocument/2006/relationships/hyperlink" Target="https://www.ncvo.org.uk/"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vo.org.uk"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uc.org.uk/research-analysis/reports/charter-strengthening-relations-between-paid-staff-and-volunteers" TargetMode="External"/><Relationship Id="rId8" Type="http://schemas.openxmlformats.org/officeDocument/2006/relationships/hyperlink" Target="https://drive.google.com/open?id=0BxM5UHfVB7YWbVAwdmNMdE1Cam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 Id="rId3" Type="http://schemas.openxmlformats.org/officeDocument/2006/relationships/hyperlink" Target="http://www.wcava.org.uk/resource-library/strategic-planning-volunteer-invol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brQw0BwxwRmYKk1BC9e8dYaDhw==">AMUW2mUtoAHAbbbjyNtwqjeQUTEFfAjNToBwoVWlpf14nzUlPJSkMSSNoxZs+JOdPiq8XC23UfWMjTBm7Ojd0RBPXxKibFAdWcGPsv+fmQ4d8VznQ++JXt4=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2020-07-11T14:41:00Z</dcterms:created>
  <dc:creator>Sam Elvyhart</dc:creator>
</cp:coreProperties>
</file>